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FB" w:rsidRPr="00D128FB" w:rsidRDefault="00D128FB" w:rsidP="00D128FB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D128FB">
        <w:rPr>
          <w:rFonts w:ascii="Arial" w:hAnsi="Arial" w:cs="Arial"/>
          <w:b/>
          <w:sz w:val="20"/>
        </w:rPr>
        <w:t>INFORMACJA Z PLANU ZAGOSPODAROWANIA PRZESTRZENNEGO</w:t>
      </w:r>
    </w:p>
    <w:p w:rsidR="00D128FB" w:rsidRPr="00D128FB" w:rsidRDefault="00D128FB" w:rsidP="00D128FB">
      <w:pPr>
        <w:pStyle w:val="Tekstpodstawowy2"/>
        <w:spacing w:after="0" w:line="240" w:lineRule="auto"/>
        <w:rPr>
          <w:rFonts w:ascii="Arial" w:hAnsi="Arial" w:cs="Arial"/>
          <w:b/>
          <w:sz w:val="20"/>
        </w:rPr>
      </w:pPr>
    </w:p>
    <w:p w:rsidR="00D128FB" w:rsidRDefault="00D128FB" w:rsidP="00D128FB">
      <w:pPr>
        <w:pStyle w:val="Tekstpodstawowy2"/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1.  </w:t>
      </w:r>
      <w:r>
        <w:rPr>
          <w:rFonts w:ascii="Arial" w:hAnsi="Arial" w:cs="Arial"/>
          <w:b/>
          <w:bCs/>
          <w:sz w:val="20"/>
        </w:rPr>
        <w:t xml:space="preserve">Dla terenów oznaczonych na rysunku planu: </w:t>
      </w:r>
      <w:r>
        <w:rPr>
          <w:rFonts w:ascii="Arial" w:hAnsi="Arial" w:cs="Arial"/>
          <w:b/>
          <w:bCs/>
          <w:sz w:val="20"/>
        </w:rPr>
        <w:fldChar w:fldCharType="begin"/>
      </w:r>
      <w:r>
        <w:rPr>
          <w:rFonts w:ascii="Arial" w:hAnsi="Arial" w:cs="Arial"/>
          <w:b/>
          <w:bCs/>
          <w:sz w:val="20"/>
        </w:rPr>
        <w:instrText xml:space="preserve"> QUOTE "B3.U" \* MERGEFORMAT </w:instrText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t>B3.U</w:t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ustala się: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 przeznaczenie: zabudowa usługowa – usługi nieuciążliwe z wykluczeniem usług związanych </w:t>
      </w:r>
      <w:r>
        <w:rPr>
          <w:rFonts w:ascii="Arial" w:hAnsi="Arial" w:cs="Arial"/>
          <w:sz w:val="20"/>
        </w:rPr>
        <w:br/>
        <w:t>ze składowaniem i przetwarzaniem odpadów.</w:t>
      </w:r>
    </w:p>
    <w:p w:rsidR="00D128FB" w:rsidRDefault="00D128FB" w:rsidP="00D128FB">
      <w:pPr>
        <w:pStyle w:val="Tekstpodstawowy2"/>
        <w:spacing w:after="0" w:line="240" w:lineRule="auto"/>
        <w:ind w:left="340" w:hanging="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2.  </w:t>
      </w:r>
      <w:r>
        <w:rPr>
          <w:rFonts w:ascii="Arial" w:hAnsi="Arial" w:cs="Arial"/>
          <w:b/>
          <w:bCs/>
          <w:sz w:val="20"/>
        </w:rPr>
        <w:t>Ustalenia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dotyczące zasad ochrony i kształtowania ładu przestrzennego oraz parametrów i wskaźników kształtowania zabudowy oraz zagospodarowania terenu: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  dopuszcza się lokalizowanie: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  budynków gospodarczych;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  obiektów małej architektury;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c)   dojazdów, miejsc do parkowania i garaży przewidzianych do obsługi terenów: </w:t>
      </w:r>
      <w:r>
        <w:rPr>
          <w:rFonts w:ascii="Arial" w:hAnsi="Arial" w:cs="Arial"/>
          <w:b/>
          <w:bCs/>
          <w:sz w:val="20"/>
        </w:rPr>
        <w:t>U;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  sieci i urządzeń infrastruktury technicznej;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   zieleni urządzonej;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  intensywność zabudowy: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  maksymalna – 0,8;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  minimalna – 0,01;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 minimalny udział procentowy powierzchni biologicznie czynnej w odniesieniu do powierzchni działki budowlanej – 20%;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  maksymalna wysokość zabudowy: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 usługowej: 2 kondygnacje nadziemne i nie więcej niż – 10m;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 innej – 5m;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  gabaryt budynków wyrażony maksymalną szerokością elewacji frontowej – 50m;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  stosowanie dachów: o dowolnym wyrazie architektonicznym, w tym nachyleniu połaci głównych do 45</w:t>
      </w:r>
      <w:r>
        <w:rPr>
          <w:rFonts w:ascii="Arial" w:hAnsi="Arial" w:cs="Arial"/>
          <w:sz w:val="20"/>
          <w:vertAlign w:val="superscript"/>
        </w:rPr>
        <w:t>0</w:t>
      </w:r>
      <w:r>
        <w:rPr>
          <w:rFonts w:ascii="Arial" w:hAnsi="Arial" w:cs="Arial"/>
          <w:sz w:val="20"/>
        </w:rPr>
        <w:t>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 nakaz zharmonizowania kolorystyki elewacji i materiałów wykończeniowych poszczególnych budynków zlokalizowanych na tych samych działkach budowlanych;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8)  dopuszcza się grodzenie działek pod warunkiem: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a)  zakazu stosowania ogrodzeń z prefabrykatów betonowych od strony terenów: </w:t>
      </w:r>
      <w:r>
        <w:rPr>
          <w:rFonts w:ascii="Arial" w:hAnsi="Arial" w:cs="Arial"/>
          <w:b/>
          <w:bCs/>
          <w:sz w:val="20"/>
        </w:rPr>
        <w:t>MN-U, KDG, KDD, KDW;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stosowania ogrodzeń ażurowych minimalnie w – 60% (rozliczanych w ramach jednego segmentu ogrodzenia);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9)  dopuszcza się lokalizowanie budynków gospodarczych o powierzchni użytkowej nieprzekraczającej 50% powierzchni użytkowej istniejących i projektowanych budynków o funkcji mieszkalnej i garażowej łącznie;</w:t>
      </w:r>
    </w:p>
    <w:p w:rsidR="00D128FB" w:rsidRDefault="00D128FB" w:rsidP="00D128FB">
      <w:pPr>
        <w:pStyle w:val="Tekstpodstawowy2"/>
        <w:spacing w:after="0" w:line="240" w:lineRule="auto"/>
        <w:ind w:left="720" w:hanging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10)   minimalna liczba miejsc do parkowania i sposób ich realizacji: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 minimalnie – 1 miejsce postojowe na 35m2 powierzchni użytkowej usług, lecz nie mniej niż 2 miejsca postojowe na jeden lokal użytkowy;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 wszystkie miejsca do parkowania oraz place manewrowe przewidziane do obsługi zabudowy należy lokalizować w granicach działek budowlanych, na których te budynki są usytuowane lub na działce albo jej części położonej w bezpośrednim sąsiedztwie, do której inwestor posiada tytuł prawny;</w:t>
      </w:r>
    </w:p>
    <w:p w:rsidR="00D128FB" w:rsidRDefault="00D128FB" w:rsidP="00D128FB">
      <w:pPr>
        <w:pStyle w:val="Tekstpodstawowy2"/>
        <w:spacing w:after="0" w:line="240" w:lineRule="auto"/>
        <w:ind w:left="96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 realizowanie miejsc do parkowania w formie:</w:t>
      </w:r>
    </w:p>
    <w:p w:rsidR="00D128FB" w:rsidRDefault="00D128FB" w:rsidP="00D128FB">
      <w:pPr>
        <w:pStyle w:val="Tekstpodstawowy2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wydzielonych miejsc postojowych na powierzchni terenu;</w:t>
      </w:r>
    </w:p>
    <w:p w:rsidR="00D128FB" w:rsidRDefault="00D128FB" w:rsidP="00D128FB">
      <w:pPr>
        <w:pStyle w:val="Tekstpodstawowy2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garaży.</w:t>
      </w:r>
    </w:p>
    <w:p w:rsidR="00D128FB" w:rsidRDefault="00D128FB" w:rsidP="00D128FB">
      <w:pPr>
        <w:pStyle w:val="Tekstpodstawowy2"/>
        <w:spacing w:after="0"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</w:t>
      </w:r>
      <w:r>
        <w:rPr>
          <w:rFonts w:ascii="Arial" w:hAnsi="Arial" w:cs="Arial"/>
          <w:b/>
          <w:bCs/>
          <w:sz w:val="20"/>
        </w:rPr>
        <w:t>Ustalenia dotyczące szczegółowych zasad i warunków scalania i podziału nieruchomości: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 minimalna powierzchnia działek uzyskanych w wyniku scalania i podziału nieruchomości pod zabudowę – 1000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;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   minimalna szerokość frontów działek uzyskanych w wyniku scalania i podziału nieruchomości </w:t>
      </w:r>
      <w:r>
        <w:rPr>
          <w:rFonts w:ascii="Arial" w:hAnsi="Arial" w:cs="Arial"/>
          <w:sz w:val="20"/>
        </w:rPr>
        <w:br/>
        <w:t>pod zabudowę – 18m.</w:t>
      </w:r>
    </w:p>
    <w:p w:rsidR="00D128FB" w:rsidRDefault="00D128FB" w:rsidP="00D128FB">
      <w:pPr>
        <w:pStyle w:val="Tekstpodstawowy2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  </w:t>
      </w:r>
      <w:r>
        <w:rPr>
          <w:rFonts w:ascii="Arial" w:hAnsi="Arial" w:cs="Arial"/>
          <w:b/>
          <w:bCs/>
          <w:sz w:val="20"/>
        </w:rPr>
        <w:t>Ustalenia dotyczące minimalnej powierzchni nowo wydzielonych działek budowlanych</w:t>
      </w:r>
      <w:r>
        <w:rPr>
          <w:rFonts w:ascii="Arial" w:hAnsi="Arial" w:cs="Arial"/>
          <w:sz w:val="20"/>
        </w:rPr>
        <w:t>:</w:t>
      </w:r>
    </w:p>
    <w:p w:rsidR="00D128FB" w:rsidRDefault="00D128FB" w:rsidP="00D128FB">
      <w:pPr>
        <w:pStyle w:val="Tekstpodstawowy2"/>
        <w:spacing w:after="0"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  pod zabudowę – 1000m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.</w:t>
      </w:r>
    </w:p>
    <w:p w:rsidR="00903FC6" w:rsidRDefault="00E47D37"/>
    <w:sectPr w:rsidR="0090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943F0"/>
    <w:multiLevelType w:val="hybridMultilevel"/>
    <w:tmpl w:val="FB744F86"/>
    <w:lvl w:ilvl="0" w:tplc="3A98253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B"/>
    <w:rsid w:val="0002219D"/>
    <w:rsid w:val="006C1A06"/>
    <w:rsid w:val="00D128FB"/>
    <w:rsid w:val="00E47D37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1259-0DAF-4421-9278-51C28DD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128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128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Antonik</dc:creator>
  <cp:keywords/>
  <dc:description/>
  <cp:lastModifiedBy>Iwona Antonik</cp:lastModifiedBy>
  <cp:revision>2</cp:revision>
  <dcterms:created xsi:type="dcterms:W3CDTF">2022-09-27T06:38:00Z</dcterms:created>
  <dcterms:modified xsi:type="dcterms:W3CDTF">2022-09-27T06:38:00Z</dcterms:modified>
</cp:coreProperties>
</file>